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4B" w:rsidRDefault="00AF7A4B">
      <w:r>
        <w:t>__________________________________________________________________________________</w:t>
      </w:r>
    </w:p>
    <w:p w:rsidR="00CD1B02" w:rsidRDefault="00AF7A4B">
      <w:r>
        <w:t>ترويسة الطبيب</w:t>
      </w:r>
      <w:r>
        <w:br/>
        <w:t>__________________________________________________________________________________</w:t>
      </w:r>
    </w:p>
    <w:p w:rsidR="00AF7A4B" w:rsidRPr="00FF65C7" w:rsidRDefault="00FF65C7" w:rsidP="00CA3583">
      <w:r>
        <w:br/>
      </w:r>
      <w:r>
        <w:rPr>
          <w:b/>
          <w:bCs/>
        </w:rPr>
        <w:t xml:space="preserve">                                                     </w:t>
      </w:r>
      <w:r w:rsidR="00CA3583">
        <w:rPr>
          <w:b/>
          <w:bCs/>
          <w:rtl w:val="0"/>
        </w:rPr>
        <w:t xml:space="preserve">                   </w:t>
      </w:r>
      <w:r>
        <w:rPr>
          <w:b/>
          <w:bCs/>
        </w:rPr>
        <w:t xml:space="preserve">    </w:t>
      </w:r>
      <w:r>
        <w:rPr>
          <w:b/>
          <w:bCs/>
          <w:sz w:val="28"/>
          <w:szCs w:val="28"/>
        </w:rPr>
        <w:t>إلى من يهمه الأمر</w:t>
      </w:r>
    </w:p>
    <w:p w:rsidR="00AF7A4B" w:rsidRPr="0022673A" w:rsidRDefault="00AF7A4B" w:rsidP="00AF7A4B">
      <w:pPr>
        <w:rPr>
          <w:rFonts w:cs="Calibri"/>
          <w:color w:val="00B050"/>
          <w:sz w:val="16"/>
          <w:szCs w:val="16"/>
        </w:rPr>
      </w:pPr>
      <w:r>
        <w:rPr>
          <w:sz w:val="20"/>
          <w:szCs w:val="20"/>
        </w:rPr>
        <w:t>رد: . . . . . . . . . . . . . . . . . . . . . . . . . . . . . . . . . . . . . . . . . . . . . . . . . .                             تاريخ الميلاد: . . . . . . . . . . . . . . . . . .</w:t>
      </w:r>
      <w:r>
        <w:rPr>
          <w:rFonts w:cs="Calibri"/>
          <w:sz w:val="20"/>
          <w:szCs w:val="20"/>
        </w:rPr>
        <w:br/>
      </w:r>
      <w:r>
        <w:rPr>
          <w:color w:val="00B050"/>
          <w:sz w:val="16"/>
          <w:szCs w:val="16"/>
        </w:rPr>
        <w:t>(اسم المريض الظاهر في جواز السفر)</w:t>
      </w:r>
    </w:p>
    <w:p w:rsidR="00EB6179" w:rsidRPr="00D161C0" w:rsidRDefault="00EB6179" w:rsidP="00AF7A4B">
      <w:pPr>
        <w:rPr>
          <w:rFonts w:cs="Calibri"/>
          <w:sz w:val="20"/>
          <w:szCs w:val="20"/>
        </w:rPr>
      </w:pPr>
      <w:r>
        <w:rPr>
          <w:sz w:val="20"/>
          <w:szCs w:val="20"/>
        </w:rPr>
        <w:t xml:space="preserve">تلقى الشخص المذكور أعلاه علاجًا لمرض الغدة النخامية و/أو قُصور الكُظْر. </w:t>
      </w:r>
    </w:p>
    <w:p w:rsidR="00EB6179" w:rsidRPr="00D161C0" w:rsidRDefault="00EB6179" w:rsidP="00AF7A4B">
      <w:pPr>
        <w:rPr>
          <w:rFonts w:cs="Calibri"/>
          <w:color w:val="00B050"/>
          <w:sz w:val="20"/>
          <w:szCs w:val="20"/>
        </w:rPr>
      </w:pPr>
      <w:r>
        <w:rPr>
          <w:sz w:val="20"/>
          <w:szCs w:val="20"/>
        </w:rPr>
        <w:t xml:space="preserve">تُعرف الحالة المرضية باسم  . . . . . . . . . . . . . . . . . . . . . . . . . . . . . . . . . . . . . . . . . . . . . .  </w:t>
      </w:r>
      <w:r>
        <w:rPr>
          <w:color w:val="00B050"/>
          <w:sz w:val="16"/>
          <w:szCs w:val="16"/>
        </w:rPr>
        <w:t xml:space="preserve"> (أدخل اسم الحالة) </w:t>
      </w:r>
    </w:p>
    <w:p w:rsidR="00AF7A4B" w:rsidRPr="00D161C0" w:rsidRDefault="00AF7A4B" w:rsidP="00CA3583">
      <w:pPr>
        <w:rPr>
          <w:rFonts w:cs="Calibri"/>
          <w:sz w:val="20"/>
          <w:szCs w:val="20"/>
        </w:rPr>
      </w:pPr>
      <w:r>
        <w:rPr>
          <w:sz w:val="20"/>
          <w:szCs w:val="20"/>
        </w:rPr>
        <w:t xml:space="preserve">عند السفر، يلزم على الشخص المذكور أعلاه حمل مجموعة من الأدوية الأساسية، بنفسه، في جميع الأوقات. وتشمل أدوية تؤخذ عن طريق الفم مثلما هو مذكور أدناه، بالإضافة إلى إبر ومحاقن للحقن في حالة الطوارئ (العضل).  ولا شيء من هذه المستلزمات للبيع. الأدوية التي يحملها الشخص المذكور أعلاه موصوفة بشكل قانوني لأغراض العلاج الطبي.  ويمكن أن تشكل مصادرة الدواء / عدم تناوله تهديدًا على الحياة. </w:t>
      </w:r>
      <w:r>
        <w:rPr>
          <w:rFonts w:cs="Calibri"/>
          <w:sz w:val="20"/>
          <w:szCs w:val="20"/>
        </w:rPr>
        <w:br/>
      </w:r>
      <w:r>
        <w:rPr>
          <w:rFonts w:cs="Calibri"/>
          <w:sz w:val="20"/>
          <w:szCs w:val="20"/>
        </w:rPr>
        <w:br/>
      </w:r>
      <w:r>
        <w:rPr>
          <w:sz w:val="20"/>
          <w:szCs w:val="20"/>
        </w:rPr>
        <w:t xml:space="preserve">يُعرف قُصورُ الكُظْر أيضًا باسم قصور الغدة النخامية أو داء أديسون. ويعني ذلك عدم قدرة الجسم على إفراز الهرمونات بسبب فشل الغدة النخامية أو الغدة الكظرية في أداء وظيفتها. يُعَدّ هرمون "كورتيزول" ضروريًّا للحفاظ على الحياة، وبينما عادةً ما يتم التحكم فيه بشكل مناسب من خلال تناول الأدوية الفموية يوميًّا، فإنه يلزم اتخاذ احتياطات خاصة إذا شعر المريض بالتعب لتجنب "الأزمة الكظرية".  وقد يستلزم ذلك الحقن العضلي في المنطقة العليا الخارجية من الفخذ. </w:t>
      </w:r>
    </w:p>
    <w:p w:rsidR="00FF5512" w:rsidRPr="00D161C0" w:rsidRDefault="00FF5512" w:rsidP="00AF7A4B">
      <w:pPr>
        <w:rPr>
          <w:rFonts w:cs="Calibri"/>
          <w:sz w:val="20"/>
          <w:szCs w:val="20"/>
        </w:rPr>
      </w:pPr>
      <w:r>
        <w:t xml:space="preserve">فيما يلي أسماء الأدوية </w:t>
      </w:r>
      <w:r>
        <w:rPr>
          <w:color w:val="00B050"/>
          <w:sz w:val="16"/>
          <w:szCs w:val="16"/>
        </w:rPr>
        <w:t>(أدخل الاسم)</w:t>
      </w:r>
      <w:r>
        <w:rPr>
          <w:sz w:val="20"/>
          <w:szCs w:val="20"/>
        </w:rPr>
        <w:t xml:space="preserve">  . . . . . . . . . . . . . . . . . . . . . . . . . . . . . . . . . . . . . . . . . . . . . . . . . . . . اللازمة لتكون في متناول المريض ويتناولها يوميًّا.   تظهر ملصقات الوصفات الطبية على عبوات الأدوية، وتتوفر نسخ من الوصفات الطبية.</w:t>
      </w:r>
      <w:r>
        <w:rPr>
          <w:rFonts w:cs="Calibri"/>
          <w:sz w:val="20"/>
          <w:szCs w:val="20"/>
        </w:rPr>
        <w:br/>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860"/>
      </w:tblGrid>
      <w:tr w:rsidR="00FF5512" w:rsidRPr="00D161C0" w:rsidTr="00D161C0">
        <w:tc>
          <w:tcPr>
            <w:tcW w:w="4338" w:type="dxa"/>
            <w:shd w:val="clear" w:color="auto" w:fill="auto"/>
          </w:tcPr>
          <w:p w:rsidR="00FF5512" w:rsidRPr="00D161C0" w:rsidRDefault="00FF5512" w:rsidP="00D161C0">
            <w:pPr>
              <w:spacing w:after="0" w:line="240" w:lineRule="auto"/>
              <w:rPr>
                <w:rFonts w:cs="Calibri"/>
                <w:sz w:val="20"/>
                <w:szCs w:val="20"/>
              </w:rPr>
            </w:pPr>
            <w:r>
              <w:rPr>
                <w:sz w:val="20"/>
                <w:szCs w:val="20"/>
              </w:rPr>
              <w:t xml:space="preserve">اسم الدواء </w:t>
            </w:r>
            <w:r>
              <w:rPr>
                <w:color w:val="00B050"/>
                <w:sz w:val="16"/>
                <w:szCs w:val="16"/>
              </w:rPr>
              <w:t>(يكتبه الطبيب)</w:t>
            </w:r>
          </w:p>
        </w:tc>
        <w:tc>
          <w:tcPr>
            <w:tcW w:w="4860" w:type="dxa"/>
            <w:shd w:val="clear" w:color="auto" w:fill="auto"/>
          </w:tcPr>
          <w:p w:rsidR="00FF5512" w:rsidRPr="00D161C0" w:rsidRDefault="00FF5512" w:rsidP="00D161C0">
            <w:pPr>
              <w:spacing w:after="0" w:line="240" w:lineRule="auto"/>
              <w:rPr>
                <w:rFonts w:cs="Calibri"/>
                <w:sz w:val="20"/>
                <w:szCs w:val="20"/>
              </w:rPr>
            </w:pPr>
            <w:r>
              <w:rPr>
                <w:sz w:val="20"/>
                <w:szCs w:val="20"/>
              </w:rPr>
              <w:t>الجرعة</w:t>
            </w:r>
          </w:p>
        </w:tc>
      </w:tr>
      <w:tr w:rsidR="00FF5512" w:rsidRPr="00D161C0" w:rsidTr="00D161C0">
        <w:tc>
          <w:tcPr>
            <w:tcW w:w="4338" w:type="dxa"/>
            <w:shd w:val="clear" w:color="auto" w:fill="auto"/>
          </w:tcPr>
          <w:p w:rsidR="00FF5512" w:rsidRPr="00D161C0" w:rsidRDefault="00D92CE4" w:rsidP="00D161C0">
            <w:pPr>
              <w:spacing w:after="0" w:line="240" w:lineRule="auto"/>
              <w:rPr>
                <w:rFonts w:cs="Calibri"/>
                <w:sz w:val="20"/>
                <w:szCs w:val="20"/>
              </w:rPr>
            </w:pPr>
            <w:r>
              <w:rPr>
                <w:color w:val="00B050"/>
                <w:sz w:val="20"/>
                <w:szCs w:val="20"/>
              </w:rPr>
              <w:t>مثال:</w:t>
            </w:r>
            <w:r>
              <w:rPr>
                <w:rFonts w:cs="Calibri"/>
                <w:color w:val="00B050"/>
                <w:sz w:val="20"/>
                <w:szCs w:val="20"/>
              </w:rPr>
              <w:br/>
            </w:r>
            <w:r>
              <w:t xml:space="preserve">دواء </w:t>
            </w:r>
            <w:r>
              <w:rPr>
                <w:sz w:val="20"/>
                <w:rtl w:val="0"/>
              </w:rPr>
              <w:t>Solu-Cortef Act-o-Vial</w:t>
            </w:r>
            <w:r>
              <w:t xml:space="preserve"> أو أمبولات المسحوق والماء؛ الإبر/المحاقن</w:t>
            </w:r>
          </w:p>
        </w:tc>
        <w:tc>
          <w:tcPr>
            <w:tcW w:w="4860" w:type="dxa"/>
            <w:shd w:val="clear" w:color="auto" w:fill="auto"/>
          </w:tcPr>
          <w:p w:rsidR="00FF5512" w:rsidRPr="00D161C0" w:rsidRDefault="00FF5512" w:rsidP="00D161C0">
            <w:pPr>
              <w:spacing w:after="0" w:line="240" w:lineRule="auto"/>
              <w:rPr>
                <w:rFonts w:cs="Calibri"/>
                <w:sz w:val="20"/>
                <w:szCs w:val="20"/>
              </w:rPr>
            </w:pPr>
          </w:p>
          <w:p w:rsidR="000C4F7F" w:rsidRPr="00D161C0" w:rsidRDefault="00FF65C7" w:rsidP="00D161C0">
            <w:pPr>
              <w:spacing w:after="0" w:line="240" w:lineRule="auto"/>
              <w:rPr>
                <w:rFonts w:cs="Calibri"/>
                <w:sz w:val="20"/>
                <w:szCs w:val="20"/>
              </w:rPr>
            </w:pPr>
            <w:r>
              <w:rPr>
                <w:sz w:val="20"/>
                <w:szCs w:val="20"/>
              </w:rPr>
              <w:t>الحقن مطلوب بسبب الأزمة الكظرية</w:t>
            </w:r>
          </w:p>
        </w:tc>
      </w:tr>
      <w:tr w:rsidR="00D92CE4" w:rsidRPr="00D161C0" w:rsidTr="00D92CE4">
        <w:trPr>
          <w:trHeight w:val="2205"/>
        </w:trPr>
        <w:tc>
          <w:tcPr>
            <w:tcW w:w="4338" w:type="dxa"/>
            <w:shd w:val="clear" w:color="auto" w:fill="auto"/>
          </w:tcPr>
          <w:p w:rsidR="00D92CE4" w:rsidRPr="00D161C0" w:rsidRDefault="00D92CE4" w:rsidP="00D161C0">
            <w:pPr>
              <w:spacing w:after="0" w:line="240" w:lineRule="auto"/>
              <w:rPr>
                <w:rFonts w:cs="Calibri"/>
                <w:sz w:val="20"/>
                <w:szCs w:val="20"/>
              </w:rPr>
            </w:pPr>
          </w:p>
        </w:tc>
        <w:tc>
          <w:tcPr>
            <w:tcW w:w="4860" w:type="dxa"/>
            <w:shd w:val="clear" w:color="auto" w:fill="auto"/>
          </w:tcPr>
          <w:p w:rsidR="00D92CE4" w:rsidRPr="00D161C0" w:rsidRDefault="00D92CE4" w:rsidP="00D161C0">
            <w:pPr>
              <w:spacing w:after="0" w:line="240" w:lineRule="auto"/>
              <w:rPr>
                <w:rFonts w:cs="Calibri"/>
                <w:sz w:val="20"/>
                <w:szCs w:val="20"/>
              </w:rPr>
            </w:pPr>
          </w:p>
        </w:tc>
      </w:tr>
    </w:tbl>
    <w:p w:rsidR="000C4F7F" w:rsidRPr="00D161C0" w:rsidRDefault="000C4F7F" w:rsidP="00AF7A4B">
      <w:pPr>
        <w:rPr>
          <w:rFonts w:cs="Calibri"/>
          <w:sz w:val="20"/>
          <w:szCs w:val="20"/>
        </w:rPr>
      </w:pPr>
      <w:r>
        <w:rPr>
          <w:rFonts w:cs="Calibri"/>
          <w:sz w:val="20"/>
          <w:szCs w:val="20"/>
        </w:rPr>
        <w:br/>
      </w:r>
      <w:r>
        <w:rPr>
          <w:sz w:val="20"/>
          <w:szCs w:val="20"/>
        </w:rPr>
        <w:t>مع خالص التحية،</w:t>
      </w:r>
      <w:r>
        <w:rPr>
          <w:rFonts w:cs="Calibri"/>
          <w:sz w:val="20"/>
          <w:szCs w:val="20"/>
        </w:rPr>
        <w:br/>
      </w:r>
    </w:p>
    <w:p w:rsidR="000C4F7F" w:rsidRDefault="000C4F7F" w:rsidP="00AF7A4B">
      <w:pPr>
        <w:rPr>
          <w:color w:val="00B050"/>
        </w:rPr>
      </w:pPr>
      <w:r>
        <w:rPr>
          <w:color w:val="00B050"/>
        </w:rPr>
        <w:t>(اسم الطبيب)</w:t>
      </w:r>
      <w:r>
        <w:t xml:space="preserve"> . . . . . . . . . . . . . . . . . . . . . . . . . . . . . . . . . . . . . .      </w:t>
      </w:r>
      <w:r>
        <w:rPr>
          <w:sz w:val="20"/>
          <w:szCs w:val="20"/>
        </w:rPr>
        <w:t>التاريخ   . . . . . . . . . . . . . .</w:t>
      </w:r>
      <w:r>
        <w:t xml:space="preserve"> . . . . . . . .  </w:t>
      </w:r>
      <w:r>
        <w:br/>
      </w:r>
      <w:r>
        <w:rPr>
          <w:color w:val="00B050"/>
        </w:rPr>
        <w:br/>
        <w:t xml:space="preserve">(تفاصيل الاتصال) </w:t>
      </w:r>
      <w:r>
        <w:t>. . . . . . . . . . . . . . . . . . . . . . . . . . . . . . . . . . . . . . . . . . . . . . . . . . . . . . . . . . . . . . . . . . .</w:t>
      </w:r>
    </w:p>
    <w:p w:rsidR="00003FF3" w:rsidRPr="00D92CE4" w:rsidRDefault="00D92CE4" w:rsidP="0022673A">
      <w:pPr>
        <w:spacing w:after="120" w:line="240" w:lineRule="auto"/>
        <w:rPr>
          <w:rFonts w:eastAsia="Times New Roman" w:cs="Calibri"/>
          <w:i/>
          <w:sz w:val="16"/>
          <w:szCs w:val="16"/>
        </w:rPr>
      </w:pPr>
      <w:r>
        <w:rPr>
          <w:rFonts w:eastAsia="Times New Roman"/>
          <w:i/>
          <w:sz w:val="16"/>
          <w:szCs w:val="16"/>
          <w:u w:val="single"/>
        </w:rPr>
        <w:br/>
      </w:r>
      <w:r>
        <w:rPr>
          <w:rFonts w:eastAsia="Times New Roman"/>
          <w:i/>
          <w:sz w:val="16"/>
          <w:szCs w:val="16"/>
          <w:u w:val="single"/>
        </w:rPr>
        <w:br/>
      </w:r>
      <w:r>
        <w:rPr>
          <w:i/>
          <w:iCs/>
          <w:sz w:val="16"/>
          <w:szCs w:val="16"/>
          <w:u w:val="single"/>
        </w:rPr>
        <w:t xml:space="preserve">شكر وتقدير:  </w:t>
      </w:r>
      <w:r>
        <w:rPr>
          <w:i/>
          <w:iCs/>
          <w:sz w:val="16"/>
          <w:szCs w:val="16"/>
        </w:rPr>
        <w:t xml:space="preserve"> </w:t>
      </w:r>
      <w:r>
        <w:rPr>
          <w:rFonts w:eastAsia="Times New Roman"/>
          <w:i/>
          <w:sz w:val="16"/>
          <w:szCs w:val="16"/>
        </w:rPr>
        <w:br/>
      </w:r>
      <w:r>
        <w:rPr>
          <w:i/>
          <w:iCs/>
          <w:sz w:val="16"/>
          <w:szCs w:val="16"/>
        </w:rPr>
        <w:t>مقدم من الجمعية الأسترالية الآسيوية لممرضي الغدد الصماء</w:t>
      </w:r>
      <w:r>
        <w:rPr>
          <w:rFonts w:eastAsia="Times New Roman"/>
          <w:i/>
          <w:sz w:val="16"/>
          <w:szCs w:val="16"/>
        </w:rPr>
        <w:br/>
      </w:r>
      <w:r>
        <w:rPr>
          <w:i/>
          <w:iCs/>
          <w:sz w:val="16"/>
          <w:szCs w:val="16"/>
        </w:rPr>
        <w:t>معتمد من مؤسسة الغدد النخامية الأسترالية، والاتحا</w:t>
      </w:r>
      <w:bookmarkStart w:id="0" w:name="_GoBack"/>
      <w:bookmarkEnd w:id="0"/>
      <w:r>
        <w:rPr>
          <w:i/>
          <w:iCs/>
          <w:sz w:val="16"/>
          <w:szCs w:val="16"/>
        </w:rPr>
        <w:t xml:space="preserve">د العالمي لمؤسسات الغدد النخامية، وجمعية الغدد الكظرية الهولندية </w:t>
      </w:r>
      <w:r>
        <w:rPr>
          <w:i/>
          <w:iCs/>
          <w:sz w:val="16"/>
          <w:szCs w:val="16"/>
          <w:rtl w:val="0"/>
        </w:rPr>
        <w:t>(</w:t>
      </w:r>
      <w:r>
        <w:rPr>
          <w:i/>
          <w:sz w:val="16"/>
          <w:rtl w:val="0"/>
        </w:rPr>
        <w:t>NVACP)</w:t>
      </w:r>
      <w:r>
        <w:rPr>
          <w:i/>
          <w:iCs/>
          <w:sz w:val="16"/>
          <w:szCs w:val="16"/>
        </w:rPr>
        <w:t xml:space="preserve">، واتحاد الممرضين الدوليين للغدد الصماء                       </w:t>
      </w:r>
      <w:r>
        <w:rPr>
          <w:rFonts w:eastAsia="Times New Roman"/>
          <w:i/>
          <w:sz w:val="16"/>
          <w:szCs w:val="16"/>
        </w:rPr>
        <w:br/>
      </w:r>
      <w:r>
        <w:rPr>
          <w:rFonts w:eastAsia="Times New Roman"/>
          <w:i/>
          <w:sz w:val="16"/>
          <w:szCs w:val="16"/>
        </w:rPr>
        <w:br/>
      </w:r>
      <w:r>
        <w:rPr>
          <w:i/>
          <w:iCs/>
          <w:sz w:val="16"/>
          <w:szCs w:val="16"/>
        </w:rPr>
        <w:t>أبريل 2018</w:t>
      </w:r>
    </w:p>
    <w:sectPr w:rsidR="00003FF3" w:rsidRPr="00D92CE4" w:rsidSect="0022673A">
      <w:pgSz w:w="11906" w:h="16838"/>
      <w:pgMar w:top="630" w:right="92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AB0"/>
    <w:multiLevelType w:val="hybridMultilevel"/>
    <w:tmpl w:val="7652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A43859"/>
    <w:multiLevelType w:val="hybridMultilevel"/>
    <w:tmpl w:val="F8B01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C605C8"/>
    <w:multiLevelType w:val="hybridMultilevel"/>
    <w:tmpl w:val="E924B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C751A1"/>
    <w:multiLevelType w:val="hybridMultilevel"/>
    <w:tmpl w:val="8DF0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9669A2"/>
    <w:multiLevelType w:val="hybridMultilevel"/>
    <w:tmpl w:val="75E2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B822B10"/>
    <w:multiLevelType w:val="hybridMultilevel"/>
    <w:tmpl w:val="6BDC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B37165"/>
    <w:multiLevelType w:val="hybridMultilevel"/>
    <w:tmpl w:val="14E63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4B"/>
    <w:rsid w:val="00003FF3"/>
    <w:rsid w:val="00054087"/>
    <w:rsid w:val="000C4F7F"/>
    <w:rsid w:val="00134593"/>
    <w:rsid w:val="001A5D37"/>
    <w:rsid w:val="0022673A"/>
    <w:rsid w:val="002A481D"/>
    <w:rsid w:val="003C1B63"/>
    <w:rsid w:val="00635944"/>
    <w:rsid w:val="00692E26"/>
    <w:rsid w:val="006C209E"/>
    <w:rsid w:val="00745C76"/>
    <w:rsid w:val="007B1415"/>
    <w:rsid w:val="00997D73"/>
    <w:rsid w:val="00A80CE8"/>
    <w:rsid w:val="00AF7A4B"/>
    <w:rsid w:val="00B35F73"/>
    <w:rsid w:val="00BB717F"/>
    <w:rsid w:val="00CA3583"/>
    <w:rsid w:val="00CD1B02"/>
    <w:rsid w:val="00D161C0"/>
    <w:rsid w:val="00D57153"/>
    <w:rsid w:val="00D92CE4"/>
    <w:rsid w:val="00EB6179"/>
    <w:rsid w:val="00FF5512"/>
    <w:rsid w:val="00FF6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ar-EG" w:bidi="ar-E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t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4F7F"/>
    <w:pPr>
      <w:ind w:left="720"/>
      <w:contextualSpacing/>
    </w:pPr>
  </w:style>
  <w:style w:type="paragraph" w:styleId="BalloonText">
    <w:name w:val="Balloon Text"/>
    <w:basedOn w:val="Normal"/>
    <w:link w:val="BalloonTextChar"/>
    <w:uiPriority w:val="99"/>
    <w:semiHidden/>
    <w:unhideWhenUsed/>
    <w:rsid w:val="007B1415"/>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7B1415"/>
    <w:rPr>
      <w:rFonts w:ascii="Times New Roman" w:hAnsi="Times New Roman" w:cs="Times New Roman"/>
      <w:sz w:val="18"/>
      <w:szCs w:val="18"/>
    </w:rPr>
  </w:style>
  <w:style w:type="character" w:styleId="CommentReference">
    <w:name w:val="annotation reference"/>
    <w:uiPriority w:val="99"/>
    <w:semiHidden/>
    <w:unhideWhenUsed/>
    <w:rsid w:val="001A5D37"/>
    <w:rPr>
      <w:sz w:val="18"/>
      <w:szCs w:val="18"/>
    </w:rPr>
  </w:style>
  <w:style w:type="paragraph" w:styleId="CommentText">
    <w:name w:val="annotation text"/>
    <w:basedOn w:val="Normal"/>
    <w:link w:val="CommentTextChar"/>
    <w:uiPriority w:val="99"/>
    <w:semiHidden/>
    <w:unhideWhenUsed/>
    <w:rsid w:val="001A5D37"/>
    <w:pPr>
      <w:spacing w:line="240" w:lineRule="auto"/>
    </w:pPr>
    <w:rPr>
      <w:sz w:val="24"/>
      <w:szCs w:val="24"/>
    </w:rPr>
  </w:style>
  <w:style w:type="character" w:customStyle="1" w:styleId="CommentTextChar">
    <w:name w:val="Comment Text Char"/>
    <w:link w:val="CommentText"/>
    <w:uiPriority w:val="99"/>
    <w:semiHidden/>
    <w:rsid w:val="001A5D37"/>
    <w:rPr>
      <w:sz w:val="24"/>
      <w:szCs w:val="24"/>
    </w:rPr>
  </w:style>
  <w:style w:type="paragraph" w:styleId="CommentSubject">
    <w:name w:val="annotation subject"/>
    <w:basedOn w:val="CommentText"/>
    <w:next w:val="CommentText"/>
    <w:link w:val="CommentSubjectChar"/>
    <w:uiPriority w:val="99"/>
    <w:semiHidden/>
    <w:unhideWhenUsed/>
    <w:rsid w:val="001A5D37"/>
    <w:rPr>
      <w:b/>
      <w:bCs/>
      <w:sz w:val="20"/>
      <w:szCs w:val="20"/>
    </w:rPr>
  </w:style>
  <w:style w:type="character" w:customStyle="1" w:styleId="CommentSubjectChar">
    <w:name w:val="Comment Subject Char"/>
    <w:link w:val="CommentSubject"/>
    <w:uiPriority w:val="99"/>
    <w:semiHidden/>
    <w:rsid w:val="001A5D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ar-EG" w:bidi="ar-E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t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4F7F"/>
    <w:pPr>
      <w:ind w:left="720"/>
      <w:contextualSpacing/>
    </w:pPr>
  </w:style>
  <w:style w:type="paragraph" w:styleId="BalloonText">
    <w:name w:val="Balloon Text"/>
    <w:basedOn w:val="Normal"/>
    <w:link w:val="BalloonTextChar"/>
    <w:uiPriority w:val="99"/>
    <w:semiHidden/>
    <w:unhideWhenUsed/>
    <w:rsid w:val="007B1415"/>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7B1415"/>
    <w:rPr>
      <w:rFonts w:ascii="Times New Roman" w:hAnsi="Times New Roman" w:cs="Times New Roman"/>
      <w:sz w:val="18"/>
      <w:szCs w:val="18"/>
    </w:rPr>
  </w:style>
  <w:style w:type="character" w:styleId="CommentReference">
    <w:name w:val="annotation reference"/>
    <w:uiPriority w:val="99"/>
    <w:semiHidden/>
    <w:unhideWhenUsed/>
    <w:rsid w:val="001A5D37"/>
    <w:rPr>
      <w:sz w:val="18"/>
      <w:szCs w:val="18"/>
    </w:rPr>
  </w:style>
  <w:style w:type="paragraph" w:styleId="CommentText">
    <w:name w:val="annotation text"/>
    <w:basedOn w:val="Normal"/>
    <w:link w:val="CommentTextChar"/>
    <w:uiPriority w:val="99"/>
    <w:semiHidden/>
    <w:unhideWhenUsed/>
    <w:rsid w:val="001A5D37"/>
    <w:pPr>
      <w:spacing w:line="240" w:lineRule="auto"/>
    </w:pPr>
    <w:rPr>
      <w:sz w:val="24"/>
      <w:szCs w:val="24"/>
    </w:rPr>
  </w:style>
  <w:style w:type="character" w:customStyle="1" w:styleId="CommentTextChar">
    <w:name w:val="Comment Text Char"/>
    <w:link w:val="CommentText"/>
    <w:uiPriority w:val="99"/>
    <w:semiHidden/>
    <w:rsid w:val="001A5D37"/>
    <w:rPr>
      <w:sz w:val="24"/>
      <w:szCs w:val="24"/>
    </w:rPr>
  </w:style>
  <w:style w:type="paragraph" w:styleId="CommentSubject">
    <w:name w:val="annotation subject"/>
    <w:basedOn w:val="CommentText"/>
    <w:next w:val="CommentText"/>
    <w:link w:val="CommentSubjectChar"/>
    <w:uiPriority w:val="99"/>
    <w:semiHidden/>
    <w:unhideWhenUsed/>
    <w:rsid w:val="001A5D37"/>
    <w:rPr>
      <w:b/>
      <w:bCs/>
      <w:sz w:val="20"/>
      <w:szCs w:val="20"/>
    </w:rPr>
  </w:style>
  <w:style w:type="character" w:customStyle="1" w:styleId="CommentSubjectChar">
    <w:name w:val="Comment Subject Char"/>
    <w:link w:val="CommentSubject"/>
    <w:uiPriority w:val="99"/>
    <w:semiHidden/>
    <w:rsid w:val="001A5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Pituitary</dc:creator>
  <cp:lastModifiedBy>AA</cp:lastModifiedBy>
  <cp:revision>3</cp:revision>
  <dcterms:created xsi:type="dcterms:W3CDTF">2018-10-15T14:01:00Z</dcterms:created>
  <dcterms:modified xsi:type="dcterms:W3CDTF">2018-10-16T14:14:00Z</dcterms:modified>
</cp:coreProperties>
</file>